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4D" w:rsidRPr="005050AC" w:rsidRDefault="0053534D" w:rsidP="0053534D">
      <w:pPr>
        <w:spacing w:before="0"/>
        <w:ind w:firstLine="0"/>
        <w:jc w:val="center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ORDINANZA N.57</w:t>
      </w:r>
    </w:p>
    <w:p w:rsidR="0053534D" w:rsidRPr="005050AC" w:rsidRDefault="0053534D" w:rsidP="0053534D">
      <w:pPr>
        <w:spacing w:before="0"/>
        <w:ind w:firstLine="0"/>
        <w:jc w:val="center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ANNO 2003</w:t>
      </w:r>
    </w:p>
    <w:p w:rsidR="0053534D" w:rsidRPr="005050AC" w:rsidRDefault="0053534D" w:rsidP="0053534D">
      <w:pPr>
        <w:spacing w:before="0"/>
        <w:ind w:firstLine="0"/>
        <w:jc w:val="center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jc w:val="center"/>
        <w:outlineLvl w:val="0"/>
        <w:rPr>
          <w:rFonts w:ascii="Times New Roman" w:eastAsia="Arial Unicode MS" w:hAnsi="Times New Roman"/>
          <w:kern w:val="36"/>
          <w:lang w:eastAsia="it-IT"/>
        </w:rPr>
      </w:pPr>
      <w:r w:rsidRPr="005050AC">
        <w:rPr>
          <w:rFonts w:ascii="Times New Roman" w:eastAsia="Arial Unicode MS" w:hAnsi="Times New Roman"/>
          <w:kern w:val="36"/>
          <w:lang w:eastAsia="it-IT"/>
        </w:rPr>
        <w:t>REPUBBLICA ITALIANA</w:t>
      </w:r>
    </w:p>
    <w:p w:rsidR="0053534D" w:rsidRPr="005050AC" w:rsidRDefault="0053534D" w:rsidP="0053534D">
      <w:pPr>
        <w:spacing w:before="0"/>
        <w:ind w:firstLine="0"/>
        <w:jc w:val="center"/>
        <w:outlineLvl w:val="0"/>
        <w:rPr>
          <w:rFonts w:ascii="Times New Roman" w:eastAsia="Arial Unicode MS" w:hAnsi="Times New Roman"/>
          <w:kern w:val="36"/>
          <w:lang w:eastAsia="it-IT"/>
        </w:rPr>
      </w:pPr>
    </w:p>
    <w:p w:rsidR="0053534D" w:rsidRPr="005050AC" w:rsidRDefault="0053534D" w:rsidP="0053534D">
      <w:pPr>
        <w:spacing w:before="0"/>
        <w:ind w:firstLine="0"/>
        <w:jc w:val="center"/>
        <w:outlineLvl w:val="0"/>
        <w:rPr>
          <w:rFonts w:ascii="Times New Roman" w:eastAsia="Arial Unicode MS" w:hAnsi="Times New Roman"/>
          <w:b/>
          <w:bCs/>
          <w:color w:val="000000"/>
          <w:kern w:val="36"/>
          <w:lang w:eastAsia="it-IT"/>
        </w:rPr>
      </w:pPr>
      <w:r w:rsidRPr="005050AC">
        <w:rPr>
          <w:rFonts w:ascii="Times New Roman" w:eastAsia="Arial Unicode MS" w:hAnsi="Times New Roman"/>
          <w:kern w:val="36"/>
          <w:lang w:eastAsia="it-IT"/>
        </w:rPr>
        <w:t>IN NOME DEL POPOLO ITALIANO</w:t>
      </w:r>
    </w:p>
    <w:p w:rsidR="0053534D" w:rsidRPr="005050AC" w:rsidRDefault="0053534D" w:rsidP="0053534D">
      <w:pPr>
        <w:spacing w:before="0"/>
        <w:ind w:left="567" w:right="567" w:firstLine="0"/>
        <w:jc w:val="center"/>
        <w:outlineLvl w:val="1"/>
        <w:rPr>
          <w:rFonts w:ascii="Times New Roman" w:eastAsia="Arial Unicode MS" w:hAnsi="Times New Roman"/>
          <w:lang w:eastAsia="it-IT"/>
        </w:rPr>
      </w:pPr>
      <w:r w:rsidRPr="005050AC">
        <w:rPr>
          <w:rFonts w:ascii="Times New Roman" w:eastAsia="Arial Unicode MS" w:hAnsi="Times New Roman"/>
          <w:lang w:eastAsia="it-IT"/>
        </w:rPr>
        <w:t>LA CORTE COSTITUZIONALE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composta dai Signori: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Riccardo</w:t>
      </w:r>
      <w:r w:rsidRPr="005050AC">
        <w:rPr>
          <w:rFonts w:ascii="Times New Roman" w:eastAsia="Times New Roman" w:hAnsi="Times New Roman"/>
          <w:iCs/>
          <w:lang w:eastAsia="it-IT"/>
        </w:rPr>
        <w:tab/>
        <w:t>CHIEPPA</w:t>
      </w:r>
      <w:r w:rsidRPr="005050AC">
        <w:rPr>
          <w:rFonts w:ascii="Times New Roman" w:eastAsia="Times New Roman" w:hAnsi="Times New Roman"/>
          <w:iCs/>
          <w:lang w:eastAsia="it-IT"/>
        </w:rPr>
        <w:tab/>
      </w:r>
      <w:r w:rsidRPr="005050AC">
        <w:rPr>
          <w:rFonts w:ascii="Times New Roman" w:eastAsia="Times New Roman" w:hAnsi="Times New Roman"/>
          <w:iCs/>
          <w:lang w:eastAsia="it-IT"/>
        </w:rPr>
        <w:tab/>
      </w:r>
      <w:r w:rsidRPr="005050AC">
        <w:rPr>
          <w:rFonts w:ascii="Times New Roman" w:eastAsia="Times New Roman" w:hAnsi="Times New Roman"/>
          <w:iCs/>
          <w:lang w:eastAsia="it-IT"/>
        </w:rPr>
        <w:tab/>
        <w:t>Presidente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Gustavo</w:t>
      </w:r>
      <w:r w:rsidRPr="005050AC">
        <w:rPr>
          <w:rFonts w:ascii="Times New Roman" w:eastAsia="Times New Roman" w:hAnsi="Times New Roman"/>
          <w:iCs/>
          <w:lang w:eastAsia="it-IT"/>
        </w:rPr>
        <w:tab/>
        <w:t>ZAGREBELSKY</w:t>
      </w:r>
      <w:r w:rsidRPr="005050AC">
        <w:rPr>
          <w:rFonts w:ascii="Times New Roman" w:eastAsia="Times New Roman" w:hAnsi="Times New Roman"/>
          <w:iCs/>
          <w:lang w:eastAsia="it-IT"/>
        </w:rPr>
        <w:tab/>
        <w:t>Giudice</w:t>
      </w:r>
      <w:r w:rsidRPr="005050AC">
        <w:rPr>
          <w:rFonts w:ascii="Times New Roman" w:eastAsia="Times New Roman" w:hAnsi="Times New Roman"/>
          <w:iCs/>
          <w:lang w:eastAsia="it-IT"/>
        </w:rPr>
        <w:tab/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Valerio</w:t>
      </w:r>
      <w:r w:rsidRPr="005050AC">
        <w:rPr>
          <w:rFonts w:ascii="Times New Roman" w:eastAsia="Times New Roman" w:hAnsi="Times New Roman"/>
          <w:iCs/>
          <w:lang w:eastAsia="it-IT"/>
        </w:rPr>
        <w:tab/>
        <w:t>ONIDA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Carlo</w:t>
      </w:r>
      <w:r w:rsidRPr="005050AC">
        <w:rPr>
          <w:rFonts w:ascii="Times New Roman" w:eastAsia="Times New Roman" w:hAnsi="Times New Roman"/>
          <w:iCs/>
          <w:lang w:eastAsia="it-IT"/>
        </w:rPr>
        <w:tab/>
        <w:t>MEZZANOTTE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Fernanda</w:t>
      </w:r>
      <w:r w:rsidRPr="005050AC">
        <w:rPr>
          <w:rFonts w:ascii="Times New Roman" w:eastAsia="Times New Roman" w:hAnsi="Times New Roman"/>
          <w:iCs/>
          <w:lang w:eastAsia="it-IT"/>
        </w:rPr>
        <w:tab/>
        <w:t>CONTRI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Guido</w:t>
      </w:r>
      <w:r w:rsidRPr="005050AC">
        <w:rPr>
          <w:rFonts w:ascii="Times New Roman" w:eastAsia="Times New Roman" w:hAnsi="Times New Roman"/>
          <w:iCs/>
          <w:lang w:eastAsia="it-IT"/>
        </w:rPr>
        <w:tab/>
        <w:t>NEPPI MODONA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Piero Alberto</w:t>
      </w:r>
      <w:r w:rsidRPr="005050AC">
        <w:rPr>
          <w:rFonts w:ascii="Times New Roman" w:eastAsia="Times New Roman" w:hAnsi="Times New Roman"/>
          <w:iCs/>
          <w:lang w:eastAsia="it-IT"/>
        </w:rPr>
        <w:tab/>
        <w:t>CAPOTOSTI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Annibale</w:t>
      </w:r>
      <w:r w:rsidRPr="005050AC">
        <w:rPr>
          <w:rFonts w:ascii="Times New Roman" w:eastAsia="Times New Roman" w:hAnsi="Times New Roman"/>
          <w:iCs/>
          <w:lang w:eastAsia="it-IT"/>
        </w:rPr>
        <w:tab/>
        <w:t>MARINI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Franco</w:t>
      </w:r>
      <w:r w:rsidRPr="005050AC">
        <w:rPr>
          <w:rFonts w:ascii="Times New Roman" w:eastAsia="Times New Roman" w:hAnsi="Times New Roman"/>
          <w:iCs/>
          <w:lang w:eastAsia="it-IT"/>
        </w:rPr>
        <w:tab/>
        <w:t>BILE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</w:t>
      </w:r>
      <w:r w:rsidRPr="005050AC">
        <w:rPr>
          <w:rFonts w:ascii="Times New Roman" w:eastAsia="Times New Roman" w:hAnsi="Times New Roman"/>
          <w:iCs/>
          <w:lang w:eastAsia="it-IT"/>
        </w:rPr>
        <w:tab/>
        <w:t>Giovanni Maria</w:t>
      </w:r>
      <w:r w:rsidRPr="005050AC">
        <w:rPr>
          <w:rFonts w:ascii="Times New Roman" w:eastAsia="Times New Roman" w:hAnsi="Times New Roman"/>
          <w:iCs/>
          <w:lang w:eastAsia="it-IT"/>
        </w:rPr>
        <w:tab/>
        <w:t>FLICK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Francesco</w:t>
      </w:r>
      <w:r w:rsidRPr="005050AC">
        <w:rPr>
          <w:rFonts w:ascii="Times New Roman" w:eastAsia="Times New Roman" w:hAnsi="Times New Roman"/>
          <w:iCs/>
          <w:lang w:eastAsia="it-IT"/>
        </w:rPr>
        <w:tab/>
        <w:t>AMIRANTE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Ugo</w:t>
      </w:r>
      <w:r w:rsidRPr="005050AC">
        <w:rPr>
          <w:rFonts w:ascii="Times New Roman" w:eastAsia="Times New Roman" w:hAnsi="Times New Roman"/>
          <w:iCs/>
          <w:lang w:eastAsia="it-IT"/>
        </w:rPr>
        <w:tab/>
        <w:t>DE SIERVO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Romano</w:t>
      </w:r>
      <w:r w:rsidRPr="005050AC">
        <w:rPr>
          <w:rFonts w:ascii="Times New Roman" w:eastAsia="Times New Roman" w:hAnsi="Times New Roman"/>
          <w:iCs/>
          <w:lang w:eastAsia="it-IT"/>
        </w:rPr>
        <w:tab/>
        <w:t>VACCARELLA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Paolo</w:t>
      </w:r>
      <w:r w:rsidRPr="005050AC">
        <w:rPr>
          <w:rFonts w:ascii="Times New Roman" w:eastAsia="Times New Roman" w:hAnsi="Times New Roman"/>
          <w:iCs/>
          <w:lang w:eastAsia="it-IT"/>
        </w:rPr>
        <w:tab/>
        <w:t>MADDALENA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jc w:val="left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- Alfio</w:t>
      </w:r>
      <w:r w:rsidRPr="005050AC">
        <w:rPr>
          <w:rFonts w:ascii="Times New Roman" w:eastAsia="Times New Roman" w:hAnsi="Times New Roman"/>
          <w:iCs/>
          <w:lang w:eastAsia="it-IT"/>
        </w:rPr>
        <w:tab/>
        <w:t>FINOCCHIARO</w:t>
      </w:r>
      <w:r w:rsidRPr="005050AC">
        <w:rPr>
          <w:rFonts w:ascii="Times New Roman" w:eastAsia="Times New Roman" w:hAnsi="Times New Roman"/>
          <w:iCs/>
          <w:lang w:eastAsia="it-IT"/>
        </w:rPr>
        <w:tab/>
        <w:t xml:space="preserve"> "</w:t>
      </w:r>
    </w:p>
    <w:p w:rsidR="0053534D" w:rsidRPr="005050AC" w:rsidRDefault="0053534D" w:rsidP="0053534D">
      <w:pPr>
        <w:spacing w:before="0"/>
        <w:ind w:firstLine="0"/>
        <w:jc w:val="left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ha pronunciato la seguente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jc w:val="center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ORDINANZA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nel giudizio di legittimità costituzionale dell'art. 2, comma 6-</w:t>
      </w:r>
      <w:r w:rsidRPr="005050AC">
        <w:rPr>
          <w:rFonts w:ascii="Times New Roman" w:eastAsia="Times New Roman" w:hAnsi="Times New Roman"/>
          <w:i/>
          <w:iCs/>
          <w:lang w:eastAsia="it-IT"/>
        </w:rPr>
        <w:t>bis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, del decreto-legge 2 marzo 1989, n. 69 (Disposizioni urgenti in materia di imposta sul reddito delle persone fisiche e versamento di acconto delle imposte sui redditi, determinazione forfetaria del reddito e dell'IVA, nuovi termini per la presentazione delle dichiarazioni da parte di determinate categorie di contribuenti, sanatoria di irregolarità formali e di minori infrazioni, ampliamento degli imponibili e contenimento delle elusioni, nonché in materia di aliquote IVA e di tasse sulle concessioni governative), convertito nella legge 27 aprile 1989, n. 154 (Conversione in legge, con modificazioni, del decreto-legge 2 marzo 1989, n. 69, recante disposizioni urgenti in materia di imposta sul reddito delle persone fisiche e versamento di acconto delle imposte sui redditi, determinazione forfetaria del reddito e dell'IVA, nuovi termini per la presentazione delle dichiarazioni da parte di determinate categorie di contribuenti, sanatoria di irregolarità formali e di minori infrazioni, ampliamento degli imponibili e contenimento delle elusioni, nonché in materia di aliquote IVA e di tasse sulle concessioni governative. Norme in materia di tasse sui contratti di borsa), promosso con ordinanza emessa il 4 maggio </w:t>
      </w:r>
      <w:r w:rsidRPr="005050AC">
        <w:rPr>
          <w:rFonts w:ascii="Times New Roman" w:eastAsia="Times New Roman" w:hAnsi="Times New Roman"/>
          <w:iCs/>
          <w:lang w:eastAsia="it-IT"/>
        </w:rPr>
        <w:lastRenderedPageBreak/>
        <w:t xml:space="preserve">1994 dalla Commissione tributaria di secondo grado di Verona sul ricorso proposto dall'Intendenza di Finanza di Verona contro </w:t>
      </w:r>
      <w:proofErr w:type="spellStart"/>
      <w:r w:rsidRPr="005050AC">
        <w:rPr>
          <w:rFonts w:ascii="Times New Roman" w:eastAsia="Times New Roman" w:hAnsi="Times New Roman"/>
          <w:iCs/>
          <w:lang w:eastAsia="it-IT"/>
        </w:rPr>
        <w:t>Magrin</w:t>
      </w:r>
      <w:proofErr w:type="spellEnd"/>
      <w:r w:rsidRPr="005050AC">
        <w:rPr>
          <w:rFonts w:ascii="Times New Roman" w:eastAsia="Times New Roman" w:hAnsi="Times New Roman"/>
          <w:iCs/>
          <w:lang w:eastAsia="it-IT"/>
        </w:rPr>
        <w:t xml:space="preserve"> Antonio, iscritta al n. 281 del registro ordinanze 2002 e pubblicata nella </w:t>
      </w:r>
      <w:r w:rsidRPr="005050AC">
        <w:rPr>
          <w:rFonts w:ascii="Times New Roman" w:eastAsia="Times New Roman" w:hAnsi="Times New Roman"/>
          <w:i/>
          <w:iCs/>
          <w:lang w:eastAsia="it-IT"/>
        </w:rPr>
        <w:t xml:space="preserve">Gazzetta Ufficiale </w:t>
      </w:r>
      <w:r w:rsidRPr="005050AC">
        <w:rPr>
          <w:rFonts w:ascii="Times New Roman" w:eastAsia="Times New Roman" w:hAnsi="Times New Roman"/>
          <w:iCs/>
          <w:lang w:eastAsia="it-IT"/>
        </w:rPr>
        <w:t>della Repubblica n. 24, prima serie speciale, dell'anno 2002.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/>
          <w:iCs/>
          <w:lang w:eastAsia="it-IT"/>
        </w:rPr>
        <w:t xml:space="preserve">Udito </w:t>
      </w:r>
      <w:r w:rsidRPr="005050AC">
        <w:rPr>
          <w:rFonts w:ascii="Times New Roman" w:eastAsia="Times New Roman" w:hAnsi="Times New Roman"/>
          <w:iCs/>
          <w:lang w:eastAsia="it-IT"/>
        </w:rPr>
        <w:t>nella camera di consiglio del 15 gennaio 2003 il Giudice relatore Paolo Maddalena.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/>
          <w:iCs/>
          <w:lang w:eastAsia="it-IT"/>
        </w:rPr>
        <w:t>Ritenuto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 che la Commissione tributaria di secondo grado di Verona, con ordinanza del 4 maggio 1994, pervenuta a questa Corte il 23 maggio 2002, ha sollevato, in riferimento agli artt. 3 e 53, secondo comma (</w:t>
      </w:r>
      <w:proofErr w:type="spellStart"/>
      <w:r w:rsidRPr="005050AC">
        <w:rPr>
          <w:rFonts w:ascii="Times New Roman" w:eastAsia="Times New Roman" w:hAnsi="Times New Roman"/>
          <w:i/>
          <w:iCs/>
          <w:lang w:eastAsia="it-IT"/>
        </w:rPr>
        <w:t>recte</w:t>
      </w:r>
      <w:proofErr w:type="spellEnd"/>
      <w:r w:rsidRPr="005050AC">
        <w:rPr>
          <w:rFonts w:ascii="Times New Roman" w:eastAsia="Times New Roman" w:hAnsi="Times New Roman"/>
          <w:iCs/>
          <w:lang w:eastAsia="it-IT"/>
        </w:rPr>
        <w:t>: 53, primo comma), della Costituzione, questione di legittimità costituzionale dell'art. 2, comma 6-</w:t>
      </w:r>
      <w:r w:rsidRPr="005050AC">
        <w:rPr>
          <w:rFonts w:ascii="Times New Roman" w:eastAsia="Times New Roman" w:hAnsi="Times New Roman"/>
          <w:i/>
          <w:iCs/>
          <w:lang w:eastAsia="it-IT"/>
        </w:rPr>
        <w:t>bis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, del decreto-legge 2 marzo 1989, n. 69 (Disposizioni urgenti in materia di imposta sul reddito delle persone fisiche e versamento di acconto delle imposte sui redditi, determinazione forfetaria del reddito e dell'IVA, nuovi termini per la presentazione delle dichiarazioni da parte di determinate categorie di contribuenti, sanatoria di irregolarità formali e di minori infrazioni, ampliamento degli imponibili e contenimento delle elusioni, nonché in materia di aliquote IVA e di tasse sulle concessioni governative), convertito nella legge 27 aprile 1989, n. 154 (Conversione in legge, con modificazioni, del decreto-legge 2 marzo 1989, n. 69, recante disposizioni urgenti in materia di imposta sul reddito delle persone fisiche e versamento di acconto delle imposte sui redditi, determinazione forfetaria del reddito e dell'IVA, nuovi termini per la presentazione delle dichiarazioni da parte di determinate categorie di contribuenti, sanatoria di irregolarità formali e di minori infrazioni, ampliamento degli imponibili e contenimento delle elusioni, nonché in materia di aliquote IVA e di tasse sulle concessioni governative. Norme in materia di tasse sui contratti di borsa), nella parte in cui non estende a tutti i contribuenti il trattamento tributario privilegiato riguardante gli assegni vitalizi percepiti dai soggetti inclusi nelle categorie elencate dagli artt. 24, secondo comma, e 29, penultimo comma, del </w:t>
      </w:r>
      <w:proofErr w:type="spellStart"/>
      <w:r w:rsidRPr="005050AC">
        <w:rPr>
          <w:rFonts w:ascii="Times New Roman" w:eastAsia="Times New Roman" w:hAnsi="Times New Roman"/>
          <w:iCs/>
          <w:lang w:eastAsia="it-IT"/>
        </w:rPr>
        <w:t>d.P.R.</w:t>
      </w:r>
      <w:proofErr w:type="spellEnd"/>
      <w:r w:rsidRPr="005050AC">
        <w:rPr>
          <w:rFonts w:ascii="Times New Roman" w:eastAsia="Times New Roman" w:hAnsi="Times New Roman"/>
          <w:iCs/>
          <w:lang w:eastAsia="it-IT"/>
        </w:rPr>
        <w:t xml:space="preserve"> 29 settembre 1973, n. 600 (Disposizioni comuni in materia di accertamento delle imposte sui redditi); 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che il remittente ha rilevato che i soggetti destinatari delle predette agevolazioni (ex deputati, ex senatori, ecc.), una volta in pensione, non hanno alcun particolare onere o spesa da sostenere, essendo cessati dalla funzione, per cui la loro situazione in nulla differisce da quella di tutti gli altri pensionati; e che, per questi motivi, viene in evidenza una palese disparità di trattamento.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/>
          <w:iCs/>
          <w:lang w:eastAsia="it-IT"/>
        </w:rPr>
        <w:t>Considerato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 che, successivamente alla data dell'ordinanza di remissione, questa Corte, con </w:t>
      </w:r>
      <w:hyperlink r:id="rId4" w:history="1">
        <w:r w:rsidRPr="005050AC">
          <w:rPr>
            <w:rFonts w:ascii="Times New Roman" w:eastAsia="Arial Unicode MS" w:hAnsi="Times New Roman"/>
            <w:iCs/>
            <w:color w:val="0000FF"/>
            <w:u w:val="single"/>
            <w:lang w:eastAsia="it-IT"/>
          </w:rPr>
          <w:t>sentenza n. 289 del 1994</w:t>
        </w:r>
      </w:hyperlink>
      <w:r w:rsidRPr="005050AC">
        <w:rPr>
          <w:rFonts w:ascii="Times New Roman" w:eastAsia="Times New Roman" w:hAnsi="Times New Roman"/>
          <w:iCs/>
          <w:lang w:eastAsia="it-IT"/>
        </w:rPr>
        <w:t>, ha dichiarato l'illegittimità costituzionale della disposizione censurata, nella parte in cui prevedeva il trattamento privilegiato a favore degli ex parlamentari ed equiparati, e che con successive decisioni (</w:t>
      </w:r>
      <w:hyperlink r:id="rId5" w:history="1">
        <w:r w:rsidRPr="005050AC">
          <w:rPr>
            <w:rFonts w:ascii="Times New Roman" w:eastAsia="Arial Unicode MS" w:hAnsi="Times New Roman"/>
            <w:iCs/>
            <w:color w:val="0000FF"/>
            <w:u w:val="single"/>
            <w:lang w:eastAsia="it-IT"/>
          </w:rPr>
          <w:t>sentenza n. 316 del 1994</w:t>
        </w:r>
      </w:hyperlink>
      <w:r w:rsidRPr="005050AC">
        <w:rPr>
          <w:rFonts w:ascii="Times New Roman" w:eastAsia="Times New Roman" w:hAnsi="Times New Roman"/>
          <w:iCs/>
          <w:lang w:eastAsia="it-IT"/>
        </w:rPr>
        <w:t xml:space="preserve">; </w:t>
      </w:r>
      <w:hyperlink r:id="rId6" w:history="1">
        <w:r w:rsidRPr="005050AC">
          <w:rPr>
            <w:rFonts w:ascii="Times New Roman" w:eastAsia="Arial Unicode MS" w:hAnsi="Times New Roman"/>
            <w:iCs/>
            <w:color w:val="0000FF"/>
            <w:u w:val="single"/>
            <w:lang w:eastAsia="it-IT"/>
          </w:rPr>
          <w:t>ordinanza n. 275 del 1999</w:t>
        </w:r>
      </w:hyperlink>
      <w:r w:rsidRPr="005050AC">
        <w:rPr>
          <w:rFonts w:ascii="Times New Roman" w:eastAsia="Times New Roman" w:hAnsi="Times New Roman"/>
          <w:iCs/>
          <w:lang w:eastAsia="it-IT"/>
        </w:rPr>
        <w:t>), questa stessa Corte ha dichiarato l'inammissibilità di questioni identiche a quella odierna;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che, pertanto, la norma denunciata non vive più nell'ordinamento giuridico e, di conseguenza, la sollevata questione deve essere dichiarata manifestamente inammissibile.</w:t>
      </w:r>
    </w:p>
    <w:p w:rsidR="0053534D" w:rsidRPr="005050AC" w:rsidRDefault="0053534D" w:rsidP="0053534D">
      <w:pPr>
        <w:spacing w:before="0"/>
        <w:ind w:firstLine="0"/>
        <w:jc w:val="center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/>
          <w:iCs/>
          <w:lang w:eastAsia="it-IT"/>
        </w:rPr>
        <w:t>Visti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 gli artt. 26, secondo comma, della legge 11 marzo 1953, n. 87, e 9, secondo comma, delle norme integrative per i giudizi innanzi alla Corte costituzionale. per questi motivi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jc w:val="center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LA CORTE COSTITUZIONALE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/>
          <w:iCs/>
          <w:lang w:eastAsia="it-IT"/>
        </w:rPr>
        <w:t>dichiara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 la manifesta inammissibilità della questione di legittimità costituzionale dell'art. 2, comma 6-</w:t>
      </w:r>
      <w:r w:rsidRPr="005050AC">
        <w:rPr>
          <w:rFonts w:ascii="Times New Roman" w:eastAsia="Times New Roman" w:hAnsi="Times New Roman"/>
          <w:i/>
          <w:iCs/>
          <w:lang w:eastAsia="it-IT"/>
        </w:rPr>
        <w:t>bis</w:t>
      </w:r>
      <w:r w:rsidRPr="005050AC">
        <w:rPr>
          <w:rFonts w:ascii="Times New Roman" w:eastAsia="Times New Roman" w:hAnsi="Times New Roman"/>
          <w:iCs/>
          <w:lang w:eastAsia="it-IT"/>
        </w:rPr>
        <w:t xml:space="preserve">, del decreto-legge 2 marzo 1989, n. 69 (Disposizioni urgenti in materia di imposta sul reddito delle persone fisiche e versamento di acconto delle imposte sui redditi, determinazione forfetaria del reddito e dell'IVA, nuovi termini per la presentazione delle dichiarazioni da parte di determinate categorie di contribuenti, sanatoria di irregolarità formali e di minori infrazioni, ampliamento degli imponibili e contenimento delle elusioni, nonché in materia di aliquote IVA e di tasse sulle concessioni governative), convertito nella legge 27 aprile 1989, n. 154 (Conversione in legge, con modificazioni, del decreto-legge 2 marzo 1989, n. 69, recante disposizioni urgenti in materia di imposta sul reddito delle persone fisiche e versamento di acconto delle imposte sui redditi, determinazione forfetaria del reddito e dell'IVA, nuovi termini per la presentazione delle dichiarazioni da parte di determinate categorie di contribuenti, sanatoria di irregolarità formali e di minori infrazioni, ampliamento degli imponibili e contenimento delle elusioni, nonché in materia di aliquote IVA e di tasse sulle concessioni governative. Norme in materia di tasse sui contratti di borsa), sollevata, in </w:t>
      </w:r>
      <w:r w:rsidRPr="005050AC">
        <w:rPr>
          <w:rFonts w:ascii="Times New Roman" w:eastAsia="Times New Roman" w:hAnsi="Times New Roman"/>
          <w:iCs/>
          <w:lang w:eastAsia="it-IT"/>
        </w:rPr>
        <w:lastRenderedPageBreak/>
        <w:t>riferimento agli artt. 3 e 53, primo comma, della Costituzione, dalla Commissione tributaria di secondo grado di Verona, con l'ordinanza in epigrafe.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Così deciso, in Roma, nella sede della Corte costituzionale, Palazzo della Consulta, il 10 febbraio 2003.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F.to: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Riccardo CHIEPPA, Presidente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Paolo MADDALENA, Redattore</w:t>
      </w: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</w:p>
    <w:p w:rsidR="0053534D" w:rsidRPr="005050AC" w:rsidRDefault="0053534D" w:rsidP="0053534D">
      <w:pPr>
        <w:spacing w:before="0"/>
        <w:ind w:firstLine="0"/>
        <w:rPr>
          <w:rFonts w:ascii="Times New Roman" w:eastAsia="Times New Roman" w:hAnsi="Times New Roman"/>
          <w:iCs/>
          <w:lang w:eastAsia="it-IT"/>
        </w:rPr>
      </w:pPr>
      <w:r w:rsidRPr="005050AC">
        <w:rPr>
          <w:rFonts w:ascii="Times New Roman" w:eastAsia="Times New Roman" w:hAnsi="Times New Roman"/>
          <w:iCs/>
          <w:lang w:eastAsia="it-IT"/>
        </w:rPr>
        <w:t>Depositata in Cancelleria il 28 febbraio 2003.</w:t>
      </w:r>
    </w:p>
    <w:p w:rsidR="00550425" w:rsidRDefault="00550425"/>
    <w:sectPr w:rsidR="00550425" w:rsidSect="00550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/>
  <w:defaultTabStop w:val="708"/>
  <w:hyphenationZone w:val="283"/>
  <w:characterSpacingControl w:val="doNotCompress"/>
  <w:compat/>
  <w:rsids>
    <w:rsidRoot w:val="0053534D"/>
    <w:rsid w:val="00073DA3"/>
    <w:rsid w:val="00076086"/>
    <w:rsid w:val="000963A3"/>
    <w:rsid w:val="000C1B5D"/>
    <w:rsid w:val="000F7568"/>
    <w:rsid w:val="00115E9E"/>
    <w:rsid w:val="00122C45"/>
    <w:rsid w:val="001239AC"/>
    <w:rsid w:val="00123FAD"/>
    <w:rsid w:val="00142123"/>
    <w:rsid w:val="00183312"/>
    <w:rsid w:val="001B1418"/>
    <w:rsid w:val="001B207C"/>
    <w:rsid w:val="002324AA"/>
    <w:rsid w:val="00240311"/>
    <w:rsid w:val="002C7BEB"/>
    <w:rsid w:val="002D130A"/>
    <w:rsid w:val="002E6253"/>
    <w:rsid w:val="003857D3"/>
    <w:rsid w:val="003A393E"/>
    <w:rsid w:val="003E011E"/>
    <w:rsid w:val="003F0F61"/>
    <w:rsid w:val="003F3D29"/>
    <w:rsid w:val="00416B40"/>
    <w:rsid w:val="0043794E"/>
    <w:rsid w:val="0049754D"/>
    <w:rsid w:val="004F0B93"/>
    <w:rsid w:val="005022D9"/>
    <w:rsid w:val="005165A4"/>
    <w:rsid w:val="00521E69"/>
    <w:rsid w:val="0053534D"/>
    <w:rsid w:val="00550425"/>
    <w:rsid w:val="00591F6D"/>
    <w:rsid w:val="005C3E48"/>
    <w:rsid w:val="0064449A"/>
    <w:rsid w:val="00652993"/>
    <w:rsid w:val="00675ACB"/>
    <w:rsid w:val="0067790A"/>
    <w:rsid w:val="0068133F"/>
    <w:rsid w:val="00703BF8"/>
    <w:rsid w:val="00704FE5"/>
    <w:rsid w:val="00720BE6"/>
    <w:rsid w:val="00725B7D"/>
    <w:rsid w:val="00766163"/>
    <w:rsid w:val="007A6A52"/>
    <w:rsid w:val="00824A2C"/>
    <w:rsid w:val="00846B02"/>
    <w:rsid w:val="008B263C"/>
    <w:rsid w:val="008C0C20"/>
    <w:rsid w:val="008C12C0"/>
    <w:rsid w:val="00926FAE"/>
    <w:rsid w:val="00947005"/>
    <w:rsid w:val="009505CA"/>
    <w:rsid w:val="009673FB"/>
    <w:rsid w:val="00970D37"/>
    <w:rsid w:val="009734D1"/>
    <w:rsid w:val="0099484F"/>
    <w:rsid w:val="009A7C31"/>
    <w:rsid w:val="009D3A94"/>
    <w:rsid w:val="009D4C0A"/>
    <w:rsid w:val="009E521B"/>
    <w:rsid w:val="00A5535C"/>
    <w:rsid w:val="00AB756D"/>
    <w:rsid w:val="00AD1E5A"/>
    <w:rsid w:val="00AF7F0D"/>
    <w:rsid w:val="00B0258D"/>
    <w:rsid w:val="00B11982"/>
    <w:rsid w:val="00B42954"/>
    <w:rsid w:val="00B44059"/>
    <w:rsid w:val="00B60E1D"/>
    <w:rsid w:val="00B66F91"/>
    <w:rsid w:val="00BA4F43"/>
    <w:rsid w:val="00BC5DC3"/>
    <w:rsid w:val="00C338BF"/>
    <w:rsid w:val="00C424A1"/>
    <w:rsid w:val="00CB1A3D"/>
    <w:rsid w:val="00D023AD"/>
    <w:rsid w:val="00D405C8"/>
    <w:rsid w:val="00D63899"/>
    <w:rsid w:val="00D85AA9"/>
    <w:rsid w:val="00DB1AF0"/>
    <w:rsid w:val="00E00104"/>
    <w:rsid w:val="00E013EF"/>
    <w:rsid w:val="00E02703"/>
    <w:rsid w:val="00E17BC1"/>
    <w:rsid w:val="00E57087"/>
    <w:rsid w:val="00E64CC5"/>
    <w:rsid w:val="00E70BDB"/>
    <w:rsid w:val="00E73E06"/>
    <w:rsid w:val="00E85122"/>
    <w:rsid w:val="00EB0D13"/>
    <w:rsid w:val="00EB4141"/>
    <w:rsid w:val="00EB62ED"/>
    <w:rsid w:val="00EC7104"/>
    <w:rsid w:val="00EF0215"/>
    <w:rsid w:val="00EF6096"/>
    <w:rsid w:val="00F21C27"/>
    <w:rsid w:val="00F4098A"/>
    <w:rsid w:val="00FC79C4"/>
    <w:rsid w:val="00FD2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534D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urcost.org/decisioni/1999/0275o-99.html" TargetMode="External"/><Relationship Id="rId5" Type="http://schemas.openxmlformats.org/officeDocument/2006/relationships/hyperlink" Target="http://www.giurcost.org/decisioni/1994/0316s-94.html" TargetMode="External"/><Relationship Id="rId4" Type="http://schemas.openxmlformats.org/officeDocument/2006/relationships/hyperlink" Target="http://www.giurcost.org/decisioni/1994/0289s-94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2</cp:revision>
  <dcterms:created xsi:type="dcterms:W3CDTF">2011-11-25T19:51:00Z</dcterms:created>
  <dcterms:modified xsi:type="dcterms:W3CDTF">2011-11-25T19:51:00Z</dcterms:modified>
</cp:coreProperties>
</file>